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0C5C8DB8" w:rsidR="005C2A4B" w:rsidRPr="00924855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9D5C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1</w:t>
      </w:r>
      <w:r w:rsidR="00F54126">
        <w:rPr>
          <w:rFonts w:ascii="Arial" w:hAnsi="Arial" w:cs="Arial"/>
          <w:bCs/>
          <w:kern w:val="32"/>
          <w:sz w:val="22"/>
          <w:szCs w:val="40"/>
          <w:lang w:val="pl-PL" w:eastAsia="ja-JP"/>
        </w:rPr>
        <w:t>4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AF5A1E">
        <w:rPr>
          <w:rFonts w:ascii="Arial" w:hAnsi="Arial" w:cs="Arial"/>
          <w:bCs/>
          <w:kern w:val="32"/>
          <w:sz w:val="22"/>
          <w:szCs w:val="40"/>
          <w:lang w:val="pl-PL" w:eastAsia="ja-JP"/>
        </w:rPr>
        <w:t>kwietnia</w:t>
      </w:r>
      <w:r w:rsidR="00707FB0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700A3AEE" w14:textId="0920C89F" w:rsidR="00AF5A1E" w:rsidRDefault="00F54126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  <w:r w:rsidRPr="00F54126">
        <w:rPr>
          <w:rFonts w:ascii="Arial" w:eastAsia="Calibri" w:hAnsi="Arial" w:cs="Arial"/>
          <w:b/>
          <w:bCs/>
          <w:lang w:val="pl-PL" w:eastAsia="en-US"/>
        </w:rPr>
        <w:t xml:space="preserve">Dunlop gotowy na największą operację </w:t>
      </w:r>
      <w:r>
        <w:rPr>
          <w:rFonts w:ascii="Arial" w:eastAsia="Calibri" w:hAnsi="Arial" w:cs="Arial"/>
          <w:b/>
          <w:bCs/>
          <w:lang w:val="pl-PL" w:eastAsia="en-US"/>
        </w:rPr>
        <w:t>wparcia</w:t>
      </w:r>
      <w:r w:rsidRPr="00F54126">
        <w:rPr>
          <w:rFonts w:ascii="Arial" w:eastAsia="Calibri" w:hAnsi="Arial" w:cs="Arial"/>
          <w:b/>
          <w:bCs/>
          <w:lang w:val="pl-PL" w:eastAsia="en-US"/>
        </w:rPr>
        <w:t xml:space="preserve"> EWC podczas wyścigu 24 Heures Motos</w:t>
      </w:r>
    </w:p>
    <w:p w14:paraId="49BD2A4B" w14:textId="77777777" w:rsidR="00F54126" w:rsidRDefault="00F54126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</w:p>
    <w:p w14:paraId="067EA81A" w14:textId="0561227D" w:rsidR="00F54126" w:rsidRPr="00F54126" w:rsidRDefault="00F54126" w:rsidP="000D065C">
      <w:pPr>
        <w:spacing w:line="360" w:lineRule="auto"/>
        <w:ind w:left="635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F54126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F54126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Największa operacja Dunlop w historii EWC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  <w:r w:rsidRPr="00F54126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</w:p>
    <w:p w14:paraId="440392E9" w14:textId="0451FB4A" w:rsidR="00F54126" w:rsidRPr="00F54126" w:rsidRDefault="00F54126" w:rsidP="000D065C">
      <w:pPr>
        <w:spacing w:line="360" w:lineRule="auto"/>
        <w:ind w:left="635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F54126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F54126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Rozpoczęcie wyłącznych dostaw dla klasy Superstock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  <w:r w:rsidRPr="00F54126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</w:p>
    <w:p w14:paraId="1D2CF213" w14:textId="2A62790A" w:rsidR="00AF5A1E" w:rsidRDefault="00F54126" w:rsidP="000D065C">
      <w:pPr>
        <w:spacing w:line="360" w:lineRule="auto"/>
        <w:ind w:left="635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F54126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F54126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Najlepsze zespoły fabryczne BMW i Kawasaki wybrały 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opony </w:t>
      </w:r>
      <w:r w:rsidRPr="00F54126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Dunlop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1ECA3872" w14:textId="77777777" w:rsidR="000D065C" w:rsidRDefault="000D065C" w:rsidP="000D065C">
      <w:pPr>
        <w:spacing w:line="360" w:lineRule="auto"/>
        <w:ind w:left="635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</w:p>
    <w:p w14:paraId="5522FC35" w14:textId="58B22C73" w:rsidR="00F54126" w:rsidRPr="00F54126" w:rsidRDefault="00F54126" w:rsidP="00F5412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 ten weekend rozpoczyna się ważny dla Dunlop</w:t>
      </w:r>
      <w:r w:rsidR="000D065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sezon Długodystansowych Mistrzostw Świata FIM (EWC)</w:t>
      </w:r>
      <w:r w:rsidR="000D065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który zainauguruje </w:t>
      </w:r>
      <w:r w:rsidR="007701C1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</w:t>
      </w:r>
      <w:r w:rsidR="007701C1"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24 Heures Motos </w:t>
      </w:r>
      <w:r w:rsidR="000D065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 francuskim torze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Le Mans. Zapoczątkuje on wyłączne dostawy dla klasy Superstock i największą w historii marki obecność w tych niezwykle konkurencyjnych mistrzostwach. </w:t>
      </w:r>
    </w:p>
    <w:p w14:paraId="3A32652E" w14:textId="7C0346AD" w:rsidR="00F54126" w:rsidRPr="00F54126" w:rsidRDefault="00F54126" w:rsidP="00F5412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Dunlop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wyposaży w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opony 42 z 52 motocykli biorących udział w </w:t>
      </w:r>
      <w:r w:rsidR="007701C1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rywalizacji na torze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Le Mans. Jest to największy skład Dunlopa w historii EWC, obejmujący siedem motocykli walczących o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zwycięstwo w Formu</w:t>
      </w:r>
      <w:r w:rsidR="007701C1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le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EWC, wszystkie 34 motocykle Superstock oraz jeden specjalny motocykl eksperymentalny. Podczas gdy wszystkie motocykle Superstock ścigają się w tym sezonie na oponach Dunlop, kategoria Formuły EWC jest nadal otwartą rywalizacją, a czołowe zespoły, takie jak BMW Motorrad World Endurance Team i Webike SRC Kawasaki France, wybierają opony Dunlop.</w:t>
      </w:r>
    </w:p>
    <w:p w14:paraId="3A606D14" w14:textId="67955270" w:rsidR="00F54126" w:rsidRPr="00F54126" w:rsidRDefault="00F54126" w:rsidP="00F5412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Aby obsłużyć rekordową liczbę 42 motocykli, Dunlop przywiezie do Le Mans 4000 opon oraz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zapewni 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wsparcie siedmiu inżynierów wyścigowych. Każdy zespół Dunlopa </w:t>
      </w:r>
      <w:r w:rsidR="007701C1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otrzyma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AE1A80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jednakowy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poziom wsparcia i porad przez cały czas trwania wyścigu, aby móc uzyskać maksymalne osiągi opon.</w:t>
      </w:r>
    </w:p>
    <w:p w14:paraId="20456A2A" w14:textId="7CEC3A30" w:rsidR="00F54126" w:rsidRPr="00F54126" w:rsidRDefault="00F54126" w:rsidP="00F5412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Podstawę przydziału opon stanowi sprawdzona gama </w:t>
      </w:r>
      <w:r w:rsidR="003C4A0E"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KR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typu slick. Oprócz nich, czołowe zespoły Formuły EWC będą mogły ścigać się na oponach rozwojowych, aby wesprzeć Dunlopa w udoskonalaniu i definiowaniu następnej generacji opon h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persportowych. Zespoły Superstock będą miały do wyboru dwie przednie i dwie tylne opony typu slick. </w:t>
      </w:r>
    </w:p>
    <w:p w14:paraId="22069531" w14:textId="63723828" w:rsidR="00F54126" w:rsidRPr="00F54126" w:rsidRDefault="00F54126" w:rsidP="00F5412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3C4A0E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David Auerbacher, Event Leader EWC w Dunlop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 powiedział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: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„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EWC to cenna arena dla aktywnego rozwoju nowych opon, ponieważ jeden 24-godzinny wyścig daje nam tyle czasu na torze, co cały sezon w normalnych mistrzostwach. Przy typowej dla Le Mans zmienności warunków pogodowych, w ciągu jednego wyścigu może być 5°C i 35°C, więc możemy zmierzyć osiągi w szerokim oknie operacyjnym. Wciąż zapraszamy nasze najlepsze zespoły do testowania nowych produktów w warunkach wyścigowych, a dzięki takiemu podejściu trzy specyfikacje zatwierdzone przez zespoły fabryczne w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ubiegłym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sezonie są teraz w naszym standardowym przydziale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.“</w:t>
      </w:r>
    </w:p>
    <w:p w14:paraId="2B5558A3" w14:textId="3379F769" w:rsidR="00F54126" w:rsidRPr="00F54126" w:rsidRDefault="00F54126" w:rsidP="00F5412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Obok wspieranych przez producentów zespołów BMW i Kawasaki, opony Dunlop wybrało pięć niezależnych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składów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Formuły EWC: Maco Racing, Motobox Kremer Racing, W</w:t>
      </w:r>
      <w:r w:rsidR="003C4A0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ó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jcik Racing Team, Moto Ain i VRD Igol Experiences, które będą się ścigać Yamahami YZF-R1.</w:t>
      </w:r>
    </w:p>
    <w:p w14:paraId="043626C8" w14:textId="77777777" w:rsidR="00F54126" w:rsidRPr="00F54126" w:rsidRDefault="00F54126" w:rsidP="00F54126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</w:pPr>
      <w:r w:rsidRPr="00F5412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lastRenderedPageBreak/>
        <w:t>Nowa era w klasie Superstock</w:t>
      </w:r>
    </w:p>
    <w:p w14:paraId="2C7A77A9" w14:textId="19386101" w:rsidR="00F54126" w:rsidRPr="00F54126" w:rsidRDefault="00F54126" w:rsidP="00F5412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Podczas gdy zespoły fabryczne wspierane przez producentów takich jak BMW i Kawasaki walczą o zwycięstwo, kluczową częścią filozofii EWC jest zapewnienie platformy</w:t>
      </w:r>
      <w:r w:rsidR="00DE25B0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rozwojowej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także dla niezależnych zespołów prywatnych, które dzięki temu mogą ścigać się na światowej scenie. Od kilku lat </w:t>
      </w:r>
      <w:r w:rsidR="00A9054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brytyjska marka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wspiera te zespoły, organizując </w:t>
      </w:r>
      <w:r w:rsidR="001E1CB6" w:rsidRPr="001E1CB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Dunlop Independent Trophy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 W</w:t>
      </w:r>
      <w:r w:rsidR="00A9054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tym sezonie, gdy Dunlop został wyłącznym dostawcą opon do klasy Superstock, wsparcie </w:t>
      </w:r>
      <w:r w:rsidR="00A9054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producenta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sięga jeszcze dalej. </w:t>
      </w:r>
    </w:p>
    <w:p w14:paraId="714D604A" w14:textId="77777777" w:rsidR="00F54126" w:rsidRPr="00F54126" w:rsidRDefault="00F54126" w:rsidP="00F5412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 34-osobowej stawce Superstock w Le Mans znajdą się motocykle Aprilii, BMW, Hondy, Kawasaki, Suzuki i Yamahy. Z kolei nowy program Dunlop Superstock Trophy to wspólna inicjatywa Dunlopa i organizatora wyścigów EWC, Discovery Sports Events, polegająca na nagradzaniu zespołów darmowymi oponami na podstawie ich wyników podczas każdej rundy. </w:t>
      </w:r>
    </w:p>
    <w:p w14:paraId="4073E52D" w14:textId="5410F78B" w:rsidR="00F54126" w:rsidRPr="00F54126" w:rsidRDefault="00F54126" w:rsidP="00F5412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Wim Van Achter, kierownik ds. sportów motorowych</w:t>
      </w:r>
      <w:r w:rsidR="00A9054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Dunlop: </w:t>
      </w:r>
      <w:r w:rsidR="00A9054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„</w:t>
      </w:r>
      <w:r w:rsidR="00AA373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odczas dni testowych przed zawodami otrzymaliśmy pozytywne opinie od nowych i obecnych zespołów Dunlopa, które chwaliły </w:t>
      </w:r>
      <w:r w:rsidR="00A9054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zarówno 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osiągi naszych opon</w:t>
      </w:r>
      <w:r w:rsidR="00A9054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 jak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organizację. Niezwykle ważne jest, abyśmy zapewnili najwyższy możliwy poziom wsparcia każdemu zespołowi, niezależnie od tego, czy jest </w:t>
      </w:r>
      <w:r w:rsidR="00AA373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 zespół fabryczny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czy mały samodzielny </w:t>
      </w:r>
      <w:r w:rsidR="00AA3738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team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- nasi inżynierowie wyścigowi chcą pomóc w uwolnieniu pełnego potencjału opon. </w:t>
      </w:r>
    </w:p>
    <w:p w14:paraId="392BD793" w14:textId="36535039" w:rsidR="00F54126" w:rsidRPr="00F54126" w:rsidRDefault="00A90542" w:rsidP="00F5412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„</w:t>
      </w:r>
      <w:r w:rsidR="00F54126"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Dzięki wyłączności na dostawę opon Superstock oraz nowemu pucharowi Dunlop Superstock Trophy, mamy przyjemność współpracować z FIM i Discovery Sports Events</w:t>
      </w:r>
      <w:r w:rsidRPr="00A9054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 ramach naszej długoterminowej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umowy</w:t>
      </w:r>
      <w:r w:rsidR="00F54126"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 aby zachęcać prywatnych kierowców i utrzymywać koszty na niskim poziomie bez rezygnacji z osiągów".</w:t>
      </w:r>
    </w:p>
    <w:p w14:paraId="3BA443F1" w14:textId="6005B5EE" w:rsidR="00AF5A1E" w:rsidRPr="008D10FE" w:rsidRDefault="00F54126" w:rsidP="00F54126">
      <w:pPr>
        <w:spacing w:after="200" w:line="276" w:lineRule="auto"/>
        <w:jc w:val="both"/>
        <w:rPr>
          <w:rFonts w:ascii="Arial" w:eastAsia="Times New Roman" w:hAnsi="Arial" w:cs="Arial"/>
          <w:i/>
          <w:iCs/>
          <w:color w:val="212529"/>
          <w:spacing w:val="2"/>
          <w:sz w:val="20"/>
          <w:szCs w:val="20"/>
          <w:lang w:eastAsia="pl-PL"/>
        </w:rPr>
      </w:pP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Akcja na torze w Le Mans rozpocznie się w czwartek, 14 kwietnia, a kwalifikacje zostaną podzielone między czwartkowe popołudnie i piątkowy poranek. 45. edycja 24 Heures Motos rozpocznie się </w:t>
      </w:r>
      <w:r w:rsidR="00A90542"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 sobotę</w:t>
      </w:r>
      <w:r w:rsidR="0087084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</w:t>
      </w:r>
      <w:r w:rsidR="00A90542"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16 kwietnia</w:t>
      </w:r>
      <w:r w:rsidR="0087084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</w:t>
      </w:r>
      <w:r w:rsidR="00A90542"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o godzinie 15:00. Po Le Mans, </w:t>
      </w:r>
      <w:r w:rsidR="00A9054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następne wydarzenia w</w:t>
      </w:r>
      <w:r w:rsidR="000D065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r w:rsidR="00A9054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kalendarzu 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EWC </w:t>
      </w:r>
      <w:r w:rsidR="000D065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</w:t>
      </w:r>
      <w:r w:rsidRPr="00F5412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24H Spa EWC Motos (4-5 czerwca), Suzuka 8 Hours (7 sierpnia) i Bol d'Or (17-18 września).</w:t>
      </w:r>
      <w:r w:rsidRPr="00F54126">
        <w:rPr>
          <w:rFonts w:ascii="Arial" w:eastAsia="Times New Roman" w:hAnsi="Arial" w:cs="Arial"/>
          <w:i/>
          <w:iCs/>
          <w:color w:val="212529"/>
          <w:spacing w:val="2"/>
          <w:sz w:val="22"/>
          <w:szCs w:val="22"/>
          <w:lang w:eastAsia="pl-PL"/>
        </w:rPr>
        <w:t xml:space="preserve"> </w:t>
      </w:r>
    </w:p>
    <w:p w14:paraId="688B7E1B" w14:textId="35396017" w:rsidR="008D10FE" w:rsidRPr="00A90542" w:rsidRDefault="00924855" w:rsidP="00A90542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Dunlop Europe jest jednym z wiodących światowych producentów opon z imponującymi osiągnięciami w sportach motorowych. Dunlop Europe jest partnerem technicznym </w:t>
      </w:r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zwycięskich zespołów w wyścigach Mistrzostw Świata Endurance, oficjalnym dostawcą opon do Mistrzostw Świata FIM Moto2 i Moto3 oraz najbardziej utytułowaną marką opon w historii Isle of Man TT. W rajdach terenowych Dunlop jest wybierany przez zwycięzców i mistrzów wyścigów MXGP i Supercross</w:t>
      </w:r>
      <w:r w:rsid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. </w:t>
      </w:r>
    </w:p>
    <w:p w14:paraId="354E379D" w14:textId="1062C415" w:rsidR="0050331B" w:rsidRPr="00924855" w:rsidRDefault="0050331B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  <w:r w:rsidRPr="00924855">
        <w:rPr>
          <w:rFonts w:ascii="Arial" w:hAnsi="Arial" w:cs="Arial"/>
          <w:b/>
          <w:sz w:val="22"/>
          <w:szCs w:val="20"/>
          <w:lang w:val="pl-PL" w:eastAsia="ja-JP"/>
        </w:rPr>
        <w:t>Więcej informacji udziela</w:t>
      </w:r>
      <w:r w:rsidR="00755E59">
        <w:rPr>
          <w:rFonts w:ascii="Arial" w:hAnsi="Arial" w:cs="Arial"/>
          <w:b/>
          <w:sz w:val="22"/>
          <w:szCs w:val="20"/>
          <w:lang w:val="pl-PL" w:eastAsia="ja-JP"/>
        </w:rPr>
        <w:t>ją</w:t>
      </w:r>
      <w:r w:rsidR="008F2298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4E87F07C" w14:textId="77777777" w:rsidR="0050331B" w:rsidRPr="00924855" w:rsidRDefault="0050331B" w:rsidP="009D1B1B">
      <w:pPr>
        <w:jc w:val="both"/>
        <w:rPr>
          <w:rFonts w:ascii="Arial" w:hAnsi="Arial" w:cs="Arial"/>
          <w:sz w:val="22"/>
          <w:szCs w:val="22"/>
          <w:lang w:val="pl-PL" w:eastAsia="ja-JP"/>
        </w:rPr>
      </w:pPr>
    </w:p>
    <w:p w14:paraId="4DF53A3B" w14:textId="6CFCD918" w:rsidR="00755E59" w:rsidRDefault="00755E59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>
        <w:rPr>
          <w:rFonts w:ascii="Arial" w:hAnsi="Arial" w:cs="Arial"/>
          <w:b/>
          <w:sz w:val="22"/>
          <w:szCs w:val="22"/>
          <w:lang w:val="pl-PL" w:eastAsia="ja-JP"/>
        </w:rPr>
        <w:t>Adam Kostrzewski</w:t>
      </w:r>
    </w:p>
    <w:p w14:paraId="265E4EB2" w14:textId="70434141" w:rsidR="00755E59" w:rsidRP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r w:rsidRPr="00755E59">
        <w:rPr>
          <w:rFonts w:ascii="Arial" w:hAnsi="Arial" w:cs="Arial"/>
          <w:bCs/>
          <w:sz w:val="22"/>
          <w:szCs w:val="22"/>
          <w:lang w:val="pl-PL" w:eastAsia="ja-JP"/>
        </w:rPr>
        <w:t xml:space="preserve">Kierownik ds. Opon Motocyklowych </w:t>
      </w:r>
      <w:r>
        <w:rPr>
          <w:rFonts w:ascii="Arial" w:hAnsi="Arial" w:cs="Arial"/>
          <w:bCs/>
          <w:sz w:val="22"/>
          <w:szCs w:val="22"/>
          <w:lang w:val="pl-PL" w:eastAsia="ja-JP"/>
        </w:rPr>
        <w:t>Polska i Ukraina</w:t>
      </w:r>
    </w:p>
    <w:p w14:paraId="066E8E9E" w14:textId="77777777" w:rsid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r w:rsidRPr="00755E59">
        <w:rPr>
          <w:rFonts w:ascii="Arial" w:hAnsi="Arial" w:cs="Arial"/>
          <w:bCs/>
          <w:sz w:val="22"/>
          <w:szCs w:val="22"/>
          <w:lang w:val="pl-PL" w:eastAsia="ja-JP"/>
        </w:rPr>
        <w:t>Goodyear Polska Sp. z o.o.</w:t>
      </w:r>
    </w:p>
    <w:p w14:paraId="26D51E02" w14:textId="369FAC7A" w:rsidR="00755E59" w:rsidRPr="00AB7E71" w:rsidRDefault="00755E59" w:rsidP="00755E59">
      <w:pPr>
        <w:jc w:val="both"/>
        <w:rPr>
          <w:rFonts w:ascii="Arial" w:hAnsi="Arial" w:cs="Arial"/>
          <w:bCs/>
          <w:sz w:val="22"/>
          <w:szCs w:val="22"/>
          <w:lang w:val="en-US" w:eastAsia="ja-JP"/>
        </w:rPr>
      </w:pP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>tel.: 783 441</w:t>
      </w:r>
      <w:r w:rsidR="00DE25B0">
        <w:rPr>
          <w:rFonts w:ascii="Arial" w:hAnsi="Arial" w:cs="Arial"/>
          <w:bCs/>
          <w:sz w:val="22"/>
          <w:szCs w:val="22"/>
          <w:lang w:val="en-US" w:eastAsia="ja-JP"/>
        </w:rPr>
        <w:t> </w:t>
      </w: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>914</w:t>
      </w:r>
      <w:r w:rsidR="00DE25B0">
        <w:rPr>
          <w:rFonts w:ascii="Arial" w:hAnsi="Arial" w:cs="Arial"/>
          <w:bCs/>
          <w:sz w:val="22"/>
          <w:szCs w:val="22"/>
          <w:lang w:val="en-US" w:eastAsia="ja-JP"/>
        </w:rPr>
        <w:t xml:space="preserve">, </w:t>
      </w: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e-mail: </w:t>
      </w:r>
      <w:hyperlink r:id="rId8" w:history="1">
        <w:r w:rsidRPr="00AB7E71">
          <w:rPr>
            <w:rStyle w:val="Hipercze"/>
            <w:rFonts w:ascii="Arial" w:hAnsi="Arial" w:cs="Arial"/>
            <w:bCs/>
            <w:sz w:val="22"/>
            <w:szCs w:val="22"/>
            <w:lang w:val="en-US" w:eastAsia="ja-JP"/>
          </w:rPr>
          <w:t>adam_kostrzewski@goodyear.com</w:t>
        </w:r>
      </w:hyperlink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 </w:t>
      </w:r>
    </w:p>
    <w:p w14:paraId="030254DB" w14:textId="77777777" w:rsidR="00755E59" w:rsidRPr="00AB7E71" w:rsidRDefault="00755E59" w:rsidP="00755E59">
      <w:pPr>
        <w:jc w:val="both"/>
        <w:rPr>
          <w:rFonts w:ascii="Arial" w:hAnsi="Arial" w:cs="Arial"/>
          <w:b/>
          <w:sz w:val="22"/>
          <w:szCs w:val="22"/>
          <w:lang w:val="en-US" w:eastAsia="ja-JP"/>
        </w:rPr>
      </w:pPr>
    </w:p>
    <w:p w14:paraId="5021A1E2" w14:textId="38090AEF" w:rsidR="0050331B" w:rsidRPr="00924855" w:rsidRDefault="0050331B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 w:rsidRPr="00924855">
        <w:rPr>
          <w:rFonts w:ascii="Arial" w:hAnsi="Arial" w:cs="Arial"/>
          <w:b/>
          <w:sz w:val="22"/>
          <w:szCs w:val="22"/>
          <w:lang w:val="pl-PL" w:eastAsia="ja-JP"/>
        </w:rPr>
        <w:t>Marlena Garucka-Kubajek</w:t>
      </w:r>
    </w:p>
    <w:p w14:paraId="354C36F7" w14:textId="77777777" w:rsidR="0050331B" w:rsidRPr="00AB7E71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AB7E71">
        <w:rPr>
          <w:rFonts w:ascii="Arial" w:hAnsi="Arial" w:cs="Arial"/>
          <w:sz w:val="22"/>
          <w:szCs w:val="22"/>
          <w:lang w:val="pl-PL" w:eastAsia="ja-JP"/>
        </w:rPr>
        <w:t xml:space="preserve">Biuro Prasowe Goodyear </w:t>
      </w:r>
    </w:p>
    <w:p w14:paraId="47E56FBB" w14:textId="77777777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Alert Media Communications </w:t>
      </w:r>
    </w:p>
    <w:p w14:paraId="7B610297" w14:textId="3F09A678" w:rsidR="00CC172D" w:rsidRPr="00DE25B0" w:rsidRDefault="0050331B" w:rsidP="00DE25B0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>tel.: 506 051</w:t>
      </w:r>
      <w:r w:rsidR="00DE25B0">
        <w:rPr>
          <w:rFonts w:ascii="Arial" w:hAnsi="Arial" w:cs="Arial"/>
          <w:sz w:val="22"/>
          <w:szCs w:val="22"/>
          <w:lang w:val="en-GB" w:eastAsia="ja-JP"/>
        </w:rPr>
        <w:t> </w:t>
      </w:r>
      <w:r w:rsidRPr="00561560">
        <w:rPr>
          <w:rFonts w:ascii="Arial" w:hAnsi="Arial" w:cs="Arial"/>
          <w:sz w:val="22"/>
          <w:szCs w:val="22"/>
          <w:lang w:val="en-GB" w:eastAsia="ja-JP"/>
        </w:rPr>
        <w:t>987</w:t>
      </w:r>
      <w:r w:rsidR="00DE25B0">
        <w:rPr>
          <w:rFonts w:ascii="Arial" w:hAnsi="Arial" w:cs="Arial"/>
          <w:sz w:val="22"/>
          <w:szCs w:val="22"/>
          <w:lang w:val="en-GB" w:eastAsia="ja-JP"/>
        </w:rPr>
        <w:t xml:space="preserve">, </w:t>
      </w:r>
      <w:r w:rsidR="00046D6C" w:rsidRPr="00561560">
        <w:rPr>
          <w:rFonts w:ascii="Arial" w:hAnsi="Arial" w:cs="Arial"/>
          <w:sz w:val="22"/>
          <w:szCs w:val="22"/>
          <w:lang w:val="en-GB" w:eastAsia="ja-JP"/>
        </w:rPr>
        <w:t xml:space="preserve">e-mail: </w:t>
      </w:r>
      <w:hyperlink r:id="rId9" w:history="1">
        <w:r w:rsidR="006D30DF" w:rsidRPr="00561560">
          <w:rPr>
            <w:rStyle w:val="Hipercze"/>
            <w:rFonts w:ascii="Arial" w:hAnsi="Arial" w:cs="Arial"/>
            <w:sz w:val="22"/>
            <w:szCs w:val="22"/>
            <w:lang w:val="en-GB" w:eastAsia="ja-JP"/>
          </w:rPr>
          <w:t>goodyear@alertmedia.pl</w:t>
        </w:r>
      </w:hyperlink>
      <w:r w:rsidR="006D30DF" w:rsidRPr="00561560">
        <w:rPr>
          <w:rFonts w:ascii="Arial" w:hAnsi="Arial" w:cs="Arial"/>
          <w:sz w:val="22"/>
          <w:szCs w:val="22"/>
          <w:lang w:val="en-GB" w:eastAsia="ja-JP"/>
        </w:rPr>
        <w:t xml:space="preserve"> </w:t>
      </w:r>
    </w:p>
    <w:sectPr w:rsidR="00CC172D" w:rsidRPr="00DE25B0" w:rsidSect="00114E02">
      <w:headerReference w:type="default" r:id="rId10"/>
      <w:footerReference w:type="default" r:id="rId11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2C9F" w14:textId="77777777" w:rsidR="00E7005F" w:rsidRDefault="00E7005F" w:rsidP="0068646D">
      <w:r>
        <w:separator/>
      </w:r>
    </w:p>
  </w:endnote>
  <w:endnote w:type="continuationSeparator" w:id="0">
    <w:p w14:paraId="57C0A3A6" w14:textId="77777777" w:rsidR="00E7005F" w:rsidRDefault="00E7005F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CA57" w14:textId="77777777" w:rsidR="00E7005F" w:rsidRDefault="00E7005F" w:rsidP="0068646D">
      <w:r>
        <w:separator/>
      </w:r>
    </w:p>
  </w:footnote>
  <w:footnote w:type="continuationSeparator" w:id="0">
    <w:p w14:paraId="26318B30" w14:textId="77777777" w:rsidR="00E7005F" w:rsidRDefault="00E7005F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413493">
    <w:abstractNumId w:val="9"/>
  </w:num>
  <w:num w:numId="2" w16cid:durableId="1480879153">
    <w:abstractNumId w:val="1"/>
  </w:num>
  <w:num w:numId="3" w16cid:durableId="1718168065">
    <w:abstractNumId w:val="0"/>
  </w:num>
  <w:num w:numId="4" w16cid:durableId="923949831">
    <w:abstractNumId w:val="2"/>
  </w:num>
  <w:num w:numId="5" w16cid:durableId="197205285">
    <w:abstractNumId w:val="4"/>
  </w:num>
  <w:num w:numId="6" w16cid:durableId="1072196339">
    <w:abstractNumId w:val="10"/>
  </w:num>
  <w:num w:numId="7" w16cid:durableId="309215148">
    <w:abstractNumId w:val="3"/>
  </w:num>
  <w:num w:numId="8" w16cid:durableId="1368674394">
    <w:abstractNumId w:val="7"/>
  </w:num>
  <w:num w:numId="9" w16cid:durableId="2003313682">
    <w:abstractNumId w:val="8"/>
  </w:num>
  <w:num w:numId="10" w16cid:durableId="990402546">
    <w:abstractNumId w:val="6"/>
  </w:num>
  <w:num w:numId="11" w16cid:durableId="1889603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54FE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6060E"/>
    <w:rsid w:val="0006286E"/>
    <w:rsid w:val="0006334A"/>
    <w:rsid w:val="000638E5"/>
    <w:rsid w:val="0006460C"/>
    <w:rsid w:val="00070847"/>
    <w:rsid w:val="00070EAE"/>
    <w:rsid w:val="00075243"/>
    <w:rsid w:val="00076DD0"/>
    <w:rsid w:val="00080021"/>
    <w:rsid w:val="000857A6"/>
    <w:rsid w:val="00090D91"/>
    <w:rsid w:val="0009446F"/>
    <w:rsid w:val="0009592D"/>
    <w:rsid w:val="000A4CD1"/>
    <w:rsid w:val="000B1B91"/>
    <w:rsid w:val="000B25A9"/>
    <w:rsid w:val="000B5426"/>
    <w:rsid w:val="000C009D"/>
    <w:rsid w:val="000C0501"/>
    <w:rsid w:val="000D065C"/>
    <w:rsid w:val="000D06DD"/>
    <w:rsid w:val="000D0C93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32523"/>
    <w:rsid w:val="00134894"/>
    <w:rsid w:val="00136E18"/>
    <w:rsid w:val="00144EE3"/>
    <w:rsid w:val="001476EE"/>
    <w:rsid w:val="001606C4"/>
    <w:rsid w:val="00163745"/>
    <w:rsid w:val="00163A77"/>
    <w:rsid w:val="0016689C"/>
    <w:rsid w:val="00166D4F"/>
    <w:rsid w:val="00167B1C"/>
    <w:rsid w:val="00172D10"/>
    <w:rsid w:val="001742AA"/>
    <w:rsid w:val="00182866"/>
    <w:rsid w:val="00184892"/>
    <w:rsid w:val="0018601A"/>
    <w:rsid w:val="0019384D"/>
    <w:rsid w:val="0019395D"/>
    <w:rsid w:val="001A1B6F"/>
    <w:rsid w:val="001B383E"/>
    <w:rsid w:val="001B4A24"/>
    <w:rsid w:val="001B5F8D"/>
    <w:rsid w:val="001C503D"/>
    <w:rsid w:val="001C7B28"/>
    <w:rsid w:val="001D5C31"/>
    <w:rsid w:val="001D60C9"/>
    <w:rsid w:val="001E1CB6"/>
    <w:rsid w:val="001E4C71"/>
    <w:rsid w:val="001E5CE2"/>
    <w:rsid w:val="001E73F5"/>
    <w:rsid w:val="001F4260"/>
    <w:rsid w:val="00203C95"/>
    <w:rsid w:val="00204F0C"/>
    <w:rsid w:val="002075D2"/>
    <w:rsid w:val="00207CA8"/>
    <w:rsid w:val="00210B19"/>
    <w:rsid w:val="0021125A"/>
    <w:rsid w:val="00211B32"/>
    <w:rsid w:val="00217010"/>
    <w:rsid w:val="00221558"/>
    <w:rsid w:val="00222BA7"/>
    <w:rsid w:val="002237A6"/>
    <w:rsid w:val="002279AC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77D0"/>
    <w:rsid w:val="00337A6B"/>
    <w:rsid w:val="00341528"/>
    <w:rsid w:val="003434EE"/>
    <w:rsid w:val="00344F6D"/>
    <w:rsid w:val="00353364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A0E"/>
    <w:rsid w:val="003C4FE7"/>
    <w:rsid w:val="003C6ECB"/>
    <w:rsid w:val="003D1A33"/>
    <w:rsid w:val="003D7EDA"/>
    <w:rsid w:val="003E057D"/>
    <w:rsid w:val="003E07E4"/>
    <w:rsid w:val="003E18E1"/>
    <w:rsid w:val="003E18F6"/>
    <w:rsid w:val="003E2C8B"/>
    <w:rsid w:val="003E3E23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56164"/>
    <w:rsid w:val="00460133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B2582"/>
    <w:rsid w:val="004B5401"/>
    <w:rsid w:val="004B5C61"/>
    <w:rsid w:val="004B6A8D"/>
    <w:rsid w:val="004B6C1B"/>
    <w:rsid w:val="004B6ECB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B2B7E"/>
    <w:rsid w:val="005B478C"/>
    <w:rsid w:val="005C2A4B"/>
    <w:rsid w:val="005C5AAA"/>
    <w:rsid w:val="005D034B"/>
    <w:rsid w:val="005E359B"/>
    <w:rsid w:val="005E4E0D"/>
    <w:rsid w:val="005F38C2"/>
    <w:rsid w:val="005F7924"/>
    <w:rsid w:val="0060141E"/>
    <w:rsid w:val="0060264B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51E9"/>
    <w:rsid w:val="006B10FF"/>
    <w:rsid w:val="006B5885"/>
    <w:rsid w:val="006C092F"/>
    <w:rsid w:val="006C1016"/>
    <w:rsid w:val="006C7ED5"/>
    <w:rsid w:val="006D23E7"/>
    <w:rsid w:val="006D30DF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368D"/>
    <w:rsid w:val="007659FF"/>
    <w:rsid w:val="0076757C"/>
    <w:rsid w:val="00767A41"/>
    <w:rsid w:val="00767DEB"/>
    <w:rsid w:val="007701C1"/>
    <w:rsid w:val="00777952"/>
    <w:rsid w:val="00784377"/>
    <w:rsid w:val="00790E48"/>
    <w:rsid w:val="00792C67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7CBA"/>
    <w:rsid w:val="007F0C18"/>
    <w:rsid w:val="007F5CFD"/>
    <w:rsid w:val="007F74D8"/>
    <w:rsid w:val="007F77B6"/>
    <w:rsid w:val="0080175B"/>
    <w:rsid w:val="00801775"/>
    <w:rsid w:val="00802A9A"/>
    <w:rsid w:val="008030FE"/>
    <w:rsid w:val="00812C0B"/>
    <w:rsid w:val="00812FA5"/>
    <w:rsid w:val="008148F7"/>
    <w:rsid w:val="008170EC"/>
    <w:rsid w:val="00822FD7"/>
    <w:rsid w:val="00823F1A"/>
    <w:rsid w:val="00831BA9"/>
    <w:rsid w:val="008349F3"/>
    <w:rsid w:val="008360DB"/>
    <w:rsid w:val="00843364"/>
    <w:rsid w:val="00846B7D"/>
    <w:rsid w:val="008601AE"/>
    <w:rsid w:val="008676C9"/>
    <w:rsid w:val="00870847"/>
    <w:rsid w:val="008746AA"/>
    <w:rsid w:val="00877B36"/>
    <w:rsid w:val="00880BA6"/>
    <w:rsid w:val="00883B61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7B1A"/>
    <w:rsid w:val="008D10CE"/>
    <w:rsid w:val="008D10F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7092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6C35"/>
    <w:rsid w:val="00942F1B"/>
    <w:rsid w:val="00946A43"/>
    <w:rsid w:val="00951828"/>
    <w:rsid w:val="00952A51"/>
    <w:rsid w:val="00961167"/>
    <w:rsid w:val="00963D5A"/>
    <w:rsid w:val="0096660C"/>
    <w:rsid w:val="009741CC"/>
    <w:rsid w:val="00984080"/>
    <w:rsid w:val="009844E8"/>
    <w:rsid w:val="0098622D"/>
    <w:rsid w:val="0098757F"/>
    <w:rsid w:val="00993F7A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BA6"/>
    <w:rsid w:val="009D55DA"/>
    <w:rsid w:val="009D5C0B"/>
    <w:rsid w:val="009D77D8"/>
    <w:rsid w:val="009E0DA4"/>
    <w:rsid w:val="009E0FEF"/>
    <w:rsid w:val="009E2BAD"/>
    <w:rsid w:val="009E2ED0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4216F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13D"/>
    <w:rsid w:val="00A87886"/>
    <w:rsid w:val="00A90542"/>
    <w:rsid w:val="00A9124E"/>
    <w:rsid w:val="00A9510A"/>
    <w:rsid w:val="00A95513"/>
    <w:rsid w:val="00AA0A48"/>
    <w:rsid w:val="00AA373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E89"/>
    <w:rsid w:val="00AD714B"/>
    <w:rsid w:val="00AE1A80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364"/>
    <w:rsid w:val="00B1460B"/>
    <w:rsid w:val="00B161DB"/>
    <w:rsid w:val="00B1796C"/>
    <w:rsid w:val="00B20339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5D9A"/>
    <w:rsid w:val="00C179DC"/>
    <w:rsid w:val="00C25D2D"/>
    <w:rsid w:val="00C30729"/>
    <w:rsid w:val="00C34249"/>
    <w:rsid w:val="00C35269"/>
    <w:rsid w:val="00C3583A"/>
    <w:rsid w:val="00C37C79"/>
    <w:rsid w:val="00C41ABF"/>
    <w:rsid w:val="00C4428A"/>
    <w:rsid w:val="00C4495A"/>
    <w:rsid w:val="00C46AE5"/>
    <w:rsid w:val="00C542B6"/>
    <w:rsid w:val="00C57769"/>
    <w:rsid w:val="00C66503"/>
    <w:rsid w:val="00C67F77"/>
    <w:rsid w:val="00C714BB"/>
    <w:rsid w:val="00C757D7"/>
    <w:rsid w:val="00C82E6E"/>
    <w:rsid w:val="00C86963"/>
    <w:rsid w:val="00C878D8"/>
    <w:rsid w:val="00C90D94"/>
    <w:rsid w:val="00CA2CD4"/>
    <w:rsid w:val="00CA5F84"/>
    <w:rsid w:val="00CA7256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2DD7"/>
    <w:rsid w:val="00D7396E"/>
    <w:rsid w:val="00D746CA"/>
    <w:rsid w:val="00D75CB8"/>
    <w:rsid w:val="00D76CC9"/>
    <w:rsid w:val="00D770A1"/>
    <w:rsid w:val="00D814B4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D0B98"/>
    <w:rsid w:val="00DD1565"/>
    <w:rsid w:val="00DD2603"/>
    <w:rsid w:val="00DD2AD7"/>
    <w:rsid w:val="00DD6C59"/>
    <w:rsid w:val="00DD7704"/>
    <w:rsid w:val="00DE25B0"/>
    <w:rsid w:val="00DE5982"/>
    <w:rsid w:val="00DE67BB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7452"/>
    <w:rsid w:val="00E67962"/>
    <w:rsid w:val="00E7005F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F00CF5"/>
    <w:rsid w:val="00F02598"/>
    <w:rsid w:val="00F0592C"/>
    <w:rsid w:val="00F05D09"/>
    <w:rsid w:val="00F10900"/>
    <w:rsid w:val="00F1238E"/>
    <w:rsid w:val="00F125BB"/>
    <w:rsid w:val="00F14738"/>
    <w:rsid w:val="00F23E75"/>
    <w:rsid w:val="00F24D32"/>
    <w:rsid w:val="00F258D6"/>
    <w:rsid w:val="00F259BA"/>
    <w:rsid w:val="00F31C33"/>
    <w:rsid w:val="00F40194"/>
    <w:rsid w:val="00F51B0A"/>
    <w:rsid w:val="00F52519"/>
    <w:rsid w:val="00F52F37"/>
    <w:rsid w:val="00F54126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7054"/>
    <w:rsid w:val="00FB1EB4"/>
    <w:rsid w:val="00FB2F59"/>
    <w:rsid w:val="00FB60CB"/>
    <w:rsid w:val="00FC0A62"/>
    <w:rsid w:val="00FC0F63"/>
    <w:rsid w:val="00FC1A29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_kostrzewski@goody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odyear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13</TotalTime>
  <Pages>2</Pages>
  <Words>758</Words>
  <Characters>4719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Marlena Garucka</cp:lastModifiedBy>
  <cp:revision>7</cp:revision>
  <cp:lastPrinted>2019-12-11T13:20:00Z</cp:lastPrinted>
  <dcterms:created xsi:type="dcterms:W3CDTF">2022-04-14T06:10:00Z</dcterms:created>
  <dcterms:modified xsi:type="dcterms:W3CDTF">2022-04-14T07:42:00Z</dcterms:modified>
</cp:coreProperties>
</file>